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C4" w:rsidRPr="00536988" w:rsidRDefault="00536988" w:rsidP="00536988">
      <w:pPr>
        <w:jc w:val="center"/>
        <w:rPr>
          <w:rFonts w:ascii="Times New Roman" w:hAnsi="Times New Roman" w:cs="Times New Roman"/>
          <w:b/>
          <w:sz w:val="24"/>
        </w:rPr>
      </w:pPr>
      <w:r w:rsidRPr="00536988">
        <w:rPr>
          <w:rFonts w:ascii="Times New Roman" w:hAnsi="Times New Roman" w:cs="Times New Roman"/>
          <w:b/>
          <w:sz w:val="24"/>
        </w:rPr>
        <w:t>WHISTLE BLOWER POLICY</w:t>
      </w:r>
    </w:p>
    <w:p w:rsidR="00536988" w:rsidRPr="00536988" w:rsidRDefault="00536988" w:rsidP="00536988">
      <w:pPr>
        <w:pStyle w:val="ListParagraph"/>
        <w:numPr>
          <w:ilvl w:val="0"/>
          <w:numId w:val="1"/>
        </w:numPr>
        <w:jc w:val="both"/>
        <w:rPr>
          <w:rFonts w:ascii="Times New Roman" w:hAnsi="Times New Roman" w:cs="Times New Roman"/>
          <w:b/>
          <w:sz w:val="24"/>
        </w:rPr>
      </w:pPr>
      <w:r w:rsidRPr="00536988">
        <w:rPr>
          <w:rFonts w:ascii="Times New Roman" w:hAnsi="Times New Roman" w:cs="Times New Roman"/>
          <w:b/>
          <w:sz w:val="24"/>
        </w:rPr>
        <w:t xml:space="preserve">Preamble </w:t>
      </w:r>
    </w:p>
    <w:p w:rsidR="00536988" w:rsidRPr="00536988" w:rsidRDefault="00536988" w:rsidP="00536988">
      <w:pPr>
        <w:pStyle w:val="ListParagraph"/>
        <w:ind w:left="405"/>
        <w:jc w:val="both"/>
        <w:rPr>
          <w:rFonts w:ascii="Times New Roman" w:hAnsi="Times New Roman" w:cs="Times New Roman"/>
          <w:sz w:val="24"/>
        </w:rPr>
      </w:pPr>
      <w:r w:rsidRPr="00536988">
        <w:rPr>
          <w:rFonts w:ascii="Times New Roman" w:hAnsi="Times New Roman" w:cs="Times New Roman"/>
          <w:sz w:val="24"/>
        </w:rPr>
        <w:t xml:space="preserve">The Company believes in the conduct of the affairs of its constituents in a fair and transparent manner by adopting highest standards of professionalism, honesty, integrity and ethical behaviour. Towards this end, the Company has adopted the Code of Conduct (“the Code”), which lays down the principles and standards that should govern the actions of the Company and its employees. Any actual or potential violation of the Code, howsoever insignificant or perceived as such, would be a matter of serious concern for the Company. The role of the employees in pointing out such violations of the Code cannot be undermined. </w:t>
      </w:r>
    </w:p>
    <w:p w:rsidR="00536988" w:rsidRPr="00536988" w:rsidRDefault="00536988" w:rsidP="00536988">
      <w:pPr>
        <w:pStyle w:val="ListParagraph"/>
        <w:numPr>
          <w:ilvl w:val="0"/>
          <w:numId w:val="1"/>
        </w:numPr>
        <w:jc w:val="both"/>
        <w:rPr>
          <w:rFonts w:ascii="Times New Roman" w:hAnsi="Times New Roman" w:cs="Times New Roman"/>
          <w:b/>
          <w:sz w:val="24"/>
        </w:rPr>
      </w:pPr>
      <w:r w:rsidRPr="00536988">
        <w:rPr>
          <w:rFonts w:ascii="Times New Roman" w:hAnsi="Times New Roman" w:cs="Times New Roman"/>
          <w:b/>
          <w:sz w:val="24"/>
        </w:rPr>
        <w:t xml:space="preserve">Purpose </w:t>
      </w:r>
    </w:p>
    <w:p w:rsidR="00536988" w:rsidRPr="00536988" w:rsidRDefault="00536988" w:rsidP="00536988">
      <w:pPr>
        <w:pStyle w:val="ListParagraph"/>
        <w:ind w:left="405"/>
        <w:jc w:val="both"/>
        <w:rPr>
          <w:rFonts w:ascii="Times New Roman" w:hAnsi="Times New Roman" w:cs="Times New Roman"/>
          <w:sz w:val="24"/>
        </w:rPr>
      </w:pPr>
      <w:r w:rsidRPr="00536988">
        <w:rPr>
          <w:rFonts w:ascii="Times New Roman" w:hAnsi="Times New Roman" w:cs="Times New Roman"/>
          <w:sz w:val="24"/>
        </w:rPr>
        <w:t xml:space="preserve">The Company has formulated </w:t>
      </w:r>
      <w:r w:rsidR="00E9679A" w:rsidRPr="00536988">
        <w:rPr>
          <w:rFonts w:ascii="Times New Roman" w:hAnsi="Times New Roman" w:cs="Times New Roman"/>
          <w:sz w:val="24"/>
        </w:rPr>
        <w:t>Whistle-blower</w:t>
      </w:r>
      <w:r w:rsidRPr="00536988">
        <w:rPr>
          <w:rFonts w:ascii="Times New Roman" w:hAnsi="Times New Roman" w:cs="Times New Roman"/>
          <w:sz w:val="24"/>
        </w:rPr>
        <w:t xml:space="preserve"> Policy (“the Policy”) with a view to provide a mechanism for directors and employees of the Company to report genuine concerns about unethical behaviour, actual or suspected fraud or violation of the C</w:t>
      </w:r>
      <w:r w:rsidR="00F00E3A">
        <w:rPr>
          <w:rFonts w:ascii="Times New Roman" w:hAnsi="Times New Roman" w:cs="Times New Roman"/>
          <w:sz w:val="24"/>
        </w:rPr>
        <w:t xml:space="preserve">ode of the Company to </w:t>
      </w:r>
      <w:r w:rsidRPr="00536988">
        <w:rPr>
          <w:rFonts w:ascii="Times New Roman" w:hAnsi="Times New Roman" w:cs="Times New Roman"/>
          <w:sz w:val="24"/>
        </w:rPr>
        <w:t xml:space="preserve">the Audit Committee of the Company or Chairperson of the Audit Committee. </w:t>
      </w:r>
    </w:p>
    <w:p w:rsidR="00536988" w:rsidRPr="00536988" w:rsidRDefault="00536988" w:rsidP="00536988">
      <w:pPr>
        <w:pStyle w:val="ListParagraph"/>
        <w:numPr>
          <w:ilvl w:val="0"/>
          <w:numId w:val="1"/>
        </w:numPr>
        <w:jc w:val="both"/>
        <w:rPr>
          <w:rFonts w:ascii="Times New Roman" w:hAnsi="Times New Roman" w:cs="Times New Roman"/>
          <w:b/>
          <w:sz w:val="24"/>
        </w:rPr>
      </w:pPr>
      <w:r w:rsidRPr="00536988">
        <w:rPr>
          <w:rFonts w:ascii="Times New Roman" w:hAnsi="Times New Roman" w:cs="Times New Roman"/>
          <w:b/>
          <w:sz w:val="24"/>
        </w:rPr>
        <w:t xml:space="preserve">Definitions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a. “Act” means the Companies Act, 2013 and rules framed thereunder including any amendment or modification thereof.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b. “Audit Committee” means the Audit Committee constituted by the Board of Directors of the Company in accordance with Section 177 of the Companies Act, 2013 and read with Clause 49 of the Listing Agreement with the Stock Exchanges.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c. “Code” means the Code of Conduct.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d. “Employee” means every employee of the company (whether working in India or abroad), including the directors in the employment of the Company.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e. “Investigators” mean any those persons authorized, appointed, consulted or approached by the Nodal Officer/Chairman of the Audit Committee and include the auditors of the Company and the police.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f. “Protected Disclosure” means any communication made in good faith that discloses or demonstrates information that may evidence unethical or improper activity.</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 xml:space="preserve"> g. “Subject” means a person against or in relation to whom a Protected Disclosure has been made or evidence gathered during the course of an investigation. </w:t>
      </w:r>
    </w:p>
    <w:p w:rsidR="00536988" w:rsidRPr="00536988" w:rsidRDefault="00536988" w:rsidP="00536988">
      <w:pPr>
        <w:pStyle w:val="ListParagraph"/>
        <w:ind w:left="851" w:hanging="425"/>
        <w:jc w:val="both"/>
        <w:rPr>
          <w:rFonts w:ascii="Times New Roman" w:hAnsi="Times New Roman" w:cs="Times New Roman"/>
          <w:sz w:val="24"/>
        </w:rPr>
      </w:pPr>
      <w:r w:rsidRPr="00536988">
        <w:rPr>
          <w:rFonts w:ascii="Times New Roman" w:hAnsi="Times New Roman" w:cs="Times New Roman"/>
          <w:sz w:val="24"/>
        </w:rPr>
        <w:t>h. “</w:t>
      </w:r>
      <w:r w:rsidR="00E9679A" w:rsidRPr="00536988">
        <w:rPr>
          <w:rFonts w:ascii="Times New Roman" w:hAnsi="Times New Roman" w:cs="Times New Roman"/>
          <w:sz w:val="24"/>
        </w:rPr>
        <w:t>Whistle-blower</w:t>
      </w:r>
      <w:r w:rsidRPr="00536988">
        <w:rPr>
          <w:rFonts w:ascii="Times New Roman" w:hAnsi="Times New Roman" w:cs="Times New Roman"/>
          <w:sz w:val="24"/>
        </w:rPr>
        <w:t xml:space="preserve">” means an Employee or director making a Protected Disclosure under this Policy. </w:t>
      </w:r>
    </w:p>
    <w:p w:rsidR="00536988" w:rsidRPr="006967FE" w:rsidRDefault="00536988" w:rsidP="00536988">
      <w:pPr>
        <w:pStyle w:val="ListParagraph"/>
        <w:numPr>
          <w:ilvl w:val="0"/>
          <w:numId w:val="1"/>
        </w:numPr>
        <w:jc w:val="both"/>
        <w:rPr>
          <w:rFonts w:ascii="Times New Roman" w:hAnsi="Times New Roman" w:cs="Times New Roman"/>
          <w:b/>
          <w:sz w:val="24"/>
        </w:rPr>
      </w:pPr>
      <w:r w:rsidRPr="006967FE">
        <w:rPr>
          <w:rFonts w:ascii="Times New Roman" w:hAnsi="Times New Roman" w:cs="Times New Roman"/>
          <w:b/>
          <w:sz w:val="24"/>
        </w:rPr>
        <w:t xml:space="preserve">Eligibility </w:t>
      </w:r>
    </w:p>
    <w:p w:rsidR="00536988" w:rsidRPr="00536988" w:rsidRDefault="00536988" w:rsidP="00536988">
      <w:pPr>
        <w:pStyle w:val="ListParagraph"/>
        <w:ind w:left="405"/>
        <w:jc w:val="both"/>
        <w:rPr>
          <w:rFonts w:ascii="Times New Roman" w:hAnsi="Times New Roman" w:cs="Times New Roman"/>
          <w:sz w:val="24"/>
        </w:rPr>
      </w:pPr>
      <w:r w:rsidRPr="00536988">
        <w:rPr>
          <w:rFonts w:ascii="Times New Roman" w:hAnsi="Times New Roman" w:cs="Times New Roman"/>
          <w:sz w:val="24"/>
        </w:rPr>
        <w:t xml:space="preserve">All Employees and Directors of the Company are eligible to make Protected Disclosures under the Policy. The Protected Disclosures may be in relation to matters concerning the Company. </w:t>
      </w:r>
    </w:p>
    <w:p w:rsidR="00536988" w:rsidRPr="00430613" w:rsidRDefault="00536988" w:rsidP="00536988">
      <w:pPr>
        <w:pStyle w:val="ListParagraph"/>
        <w:numPr>
          <w:ilvl w:val="0"/>
          <w:numId w:val="1"/>
        </w:numPr>
        <w:jc w:val="both"/>
        <w:rPr>
          <w:rFonts w:ascii="Times New Roman" w:hAnsi="Times New Roman" w:cs="Times New Roman"/>
          <w:b/>
          <w:sz w:val="24"/>
        </w:rPr>
      </w:pPr>
      <w:r w:rsidRPr="00430613">
        <w:rPr>
          <w:rFonts w:ascii="Times New Roman" w:hAnsi="Times New Roman" w:cs="Times New Roman"/>
          <w:b/>
          <w:sz w:val="24"/>
        </w:rPr>
        <w:t xml:space="preserve">Disqualification / Protection </w:t>
      </w:r>
    </w:p>
    <w:p w:rsidR="00536988" w:rsidRPr="00536988" w:rsidRDefault="00536988" w:rsidP="00430613">
      <w:pPr>
        <w:pStyle w:val="ListParagraph"/>
        <w:ind w:left="709" w:hanging="304"/>
        <w:jc w:val="both"/>
        <w:rPr>
          <w:rFonts w:ascii="Times New Roman" w:hAnsi="Times New Roman" w:cs="Times New Roman"/>
          <w:sz w:val="24"/>
        </w:rPr>
      </w:pPr>
      <w:r w:rsidRPr="00536988">
        <w:rPr>
          <w:rFonts w:ascii="Times New Roman" w:hAnsi="Times New Roman" w:cs="Times New Roman"/>
          <w:sz w:val="24"/>
        </w:rPr>
        <w:t xml:space="preserve">a. While it will be ensured that genuine </w:t>
      </w:r>
      <w:r w:rsidR="00430613" w:rsidRPr="00536988">
        <w:rPr>
          <w:rFonts w:ascii="Times New Roman" w:hAnsi="Times New Roman" w:cs="Times New Roman"/>
          <w:sz w:val="24"/>
        </w:rPr>
        <w:t>Whistle-blowers</w:t>
      </w:r>
      <w:r w:rsidRPr="00536988">
        <w:rPr>
          <w:rFonts w:ascii="Times New Roman" w:hAnsi="Times New Roman" w:cs="Times New Roman"/>
          <w:sz w:val="24"/>
        </w:rPr>
        <w:t xml:space="preserve"> are accorded complete protection from any kind of unf</w:t>
      </w:r>
      <w:r w:rsidR="00430613">
        <w:rPr>
          <w:rFonts w:ascii="Times New Roman" w:hAnsi="Times New Roman" w:cs="Times New Roman"/>
          <w:sz w:val="24"/>
        </w:rPr>
        <w:t>air treatment as herein set out</w:t>
      </w:r>
      <w:r w:rsidRPr="00536988">
        <w:rPr>
          <w:rFonts w:ascii="Times New Roman" w:hAnsi="Times New Roman" w:cs="Times New Roman"/>
          <w:sz w:val="24"/>
        </w:rPr>
        <w:t xml:space="preserve">, any abuse of this protection will warrant disciplinary action. </w:t>
      </w:r>
    </w:p>
    <w:p w:rsidR="00536988" w:rsidRPr="00536988" w:rsidRDefault="00536988" w:rsidP="00430613">
      <w:pPr>
        <w:pStyle w:val="ListParagraph"/>
        <w:ind w:left="709" w:hanging="304"/>
        <w:jc w:val="both"/>
        <w:rPr>
          <w:rFonts w:ascii="Times New Roman" w:hAnsi="Times New Roman" w:cs="Times New Roman"/>
          <w:sz w:val="24"/>
        </w:rPr>
      </w:pPr>
      <w:r w:rsidRPr="00536988">
        <w:rPr>
          <w:rFonts w:ascii="Times New Roman" w:hAnsi="Times New Roman" w:cs="Times New Roman"/>
          <w:sz w:val="24"/>
        </w:rPr>
        <w:lastRenderedPageBreak/>
        <w:t xml:space="preserve">b. Protection under this policy would not mean protection from disciplinary action arising out of false or bogus allegations made by a </w:t>
      </w:r>
      <w:r w:rsidR="00430613" w:rsidRPr="00536988">
        <w:rPr>
          <w:rFonts w:ascii="Times New Roman" w:hAnsi="Times New Roman" w:cs="Times New Roman"/>
          <w:sz w:val="24"/>
        </w:rPr>
        <w:t>Whistle-blower</w:t>
      </w:r>
      <w:r w:rsidRPr="00536988">
        <w:rPr>
          <w:rFonts w:ascii="Times New Roman" w:hAnsi="Times New Roman" w:cs="Times New Roman"/>
          <w:sz w:val="24"/>
        </w:rPr>
        <w:t xml:space="preserve"> knowing it to be false or bogus or with a mala fide intention. </w:t>
      </w:r>
    </w:p>
    <w:p w:rsidR="00536988" w:rsidRPr="00536988" w:rsidRDefault="00536988" w:rsidP="00430613">
      <w:pPr>
        <w:pStyle w:val="ListParagraph"/>
        <w:ind w:left="709" w:hanging="304"/>
        <w:jc w:val="both"/>
        <w:rPr>
          <w:rFonts w:ascii="Times New Roman" w:hAnsi="Times New Roman" w:cs="Times New Roman"/>
          <w:sz w:val="24"/>
        </w:rPr>
      </w:pPr>
      <w:r w:rsidRPr="00536988">
        <w:rPr>
          <w:rFonts w:ascii="Times New Roman" w:hAnsi="Times New Roman" w:cs="Times New Roman"/>
          <w:sz w:val="24"/>
        </w:rPr>
        <w:t xml:space="preserve">c. </w:t>
      </w:r>
      <w:r w:rsidR="00430613" w:rsidRPr="00536988">
        <w:rPr>
          <w:rFonts w:ascii="Times New Roman" w:hAnsi="Times New Roman" w:cs="Times New Roman"/>
          <w:sz w:val="24"/>
        </w:rPr>
        <w:t>Whistle-blowers</w:t>
      </w:r>
      <w:r w:rsidRPr="00536988">
        <w:rPr>
          <w:rFonts w:ascii="Times New Roman" w:hAnsi="Times New Roman" w:cs="Times New Roman"/>
          <w:sz w:val="24"/>
        </w:rPr>
        <w:t xml:space="preserve">, who make three or more Protected Disclosures, which have been subsequently found to be mala fide, frivolous, baseless, malicious, or reported otherwise than in good faith, will be disqualified from reporting further protected disclosures under this policy. In respect of such </w:t>
      </w:r>
      <w:r w:rsidR="00430613" w:rsidRPr="00536988">
        <w:rPr>
          <w:rFonts w:ascii="Times New Roman" w:hAnsi="Times New Roman" w:cs="Times New Roman"/>
          <w:sz w:val="24"/>
        </w:rPr>
        <w:t>Whistle-blowers</w:t>
      </w:r>
      <w:r w:rsidRPr="00536988">
        <w:rPr>
          <w:rFonts w:ascii="Times New Roman" w:hAnsi="Times New Roman" w:cs="Times New Roman"/>
          <w:sz w:val="24"/>
        </w:rPr>
        <w:t xml:space="preserve">, the Company/Audit Committee would reserve its right to take/recommend appropriate disciplinary action. </w:t>
      </w:r>
    </w:p>
    <w:p w:rsidR="00430613" w:rsidRPr="00430613" w:rsidRDefault="00536988" w:rsidP="00536988">
      <w:pPr>
        <w:pStyle w:val="ListParagraph"/>
        <w:numPr>
          <w:ilvl w:val="0"/>
          <w:numId w:val="1"/>
        </w:numPr>
        <w:jc w:val="both"/>
        <w:rPr>
          <w:rFonts w:ascii="Times New Roman" w:hAnsi="Times New Roman" w:cs="Times New Roman"/>
          <w:b/>
          <w:sz w:val="24"/>
        </w:rPr>
      </w:pPr>
      <w:r w:rsidRPr="00430613">
        <w:rPr>
          <w:rFonts w:ascii="Times New Roman" w:hAnsi="Times New Roman" w:cs="Times New Roman"/>
          <w:b/>
          <w:sz w:val="24"/>
        </w:rPr>
        <w:t xml:space="preserve">Procedure </w:t>
      </w:r>
    </w:p>
    <w:p w:rsidR="00F24BDF" w:rsidRDefault="00536988" w:rsidP="00F24BDF">
      <w:pPr>
        <w:pStyle w:val="ListParagraph"/>
        <w:ind w:left="405"/>
        <w:jc w:val="both"/>
        <w:rPr>
          <w:rFonts w:ascii="Times New Roman" w:hAnsi="Times New Roman" w:cs="Times New Roman"/>
          <w:sz w:val="24"/>
        </w:rPr>
      </w:pPr>
      <w:r w:rsidRPr="00536988">
        <w:rPr>
          <w:rFonts w:ascii="Times New Roman" w:hAnsi="Times New Roman" w:cs="Times New Roman"/>
          <w:sz w:val="24"/>
        </w:rPr>
        <w:t>In compliance with the Companies Act 2013 and Listing agreement, to enable employees, customers, agents, dealers, suppliers and other vendors that conduct business</w:t>
      </w:r>
      <w:r w:rsidR="00430613">
        <w:rPr>
          <w:rFonts w:ascii="Times New Roman" w:hAnsi="Times New Roman" w:cs="Times New Roman"/>
          <w:sz w:val="24"/>
        </w:rPr>
        <w:t xml:space="preserve"> with Canopy Finance</w:t>
      </w:r>
      <w:r w:rsidRPr="00536988">
        <w:rPr>
          <w:rFonts w:ascii="Times New Roman" w:hAnsi="Times New Roman" w:cs="Times New Roman"/>
          <w:sz w:val="24"/>
        </w:rPr>
        <w:t xml:space="preserve"> Ltd. to raise concerns about unethical behaviour, actual or suspected fraud or violation of the Company’s code of conduct or ethics policy, the concerns / complaints pertaining to Senior</w:t>
      </w:r>
      <w:r w:rsidR="00430613">
        <w:rPr>
          <w:rFonts w:ascii="Times New Roman" w:hAnsi="Times New Roman" w:cs="Times New Roman"/>
          <w:sz w:val="24"/>
        </w:rPr>
        <w:t xml:space="preserve"> Execut</w:t>
      </w:r>
      <w:r w:rsidR="00F24BDF">
        <w:rPr>
          <w:rFonts w:ascii="Times New Roman" w:hAnsi="Times New Roman" w:cs="Times New Roman"/>
          <w:sz w:val="24"/>
        </w:rPr>
        <w:t>ives</w:t>
      </w:r>
      <w:r w:rsidRPr="00536988">
        <w:rPr>
          <w:rFonts w:ascii="Times New Roman" w:hAnsi="Times New Roman" w:cs="Times New Roman"/>
          <w:sz w:val="24"/>
        </w:rPr>
        <w:t xml:space="preserve"> should be raised before the Chairperson of Audit Committee</w:t>
      </w:r>
      <w:r w:rsidR="00F24BDF">
        <w:rPr>
          <w:rFonts w:ascii="Times New Roman" w:hAnsi="Times New Roman" w:cs="Times New Roman"/>
          <w:sz w:val="24"/>
        </w:rPr>
        <w:t>.</w:t>
      </w:r>
      <w:r w:rsidRPr="00536988">
        <w:rPr>
          <w:rFonts w:ascii="Times New Roman" w:hAnsi="Times New Roman" w:cs="Times New Roman"/>
          <w:sz w:val="24"/>
        </w:rPr>
        <w:t xml:space="preserve"> The Policy also provides for adequate safeguards against victimization of persons who use such mechanism and provides for direct access to the Chairperson of the Audit Committee in appropriate and exceptional cases. </w:t>
      </w:r>
    </w:p>
    <w:p w:rsidR="00F24BDF" w:rsidRDefault="00F24BDF" w:rsidP="00F24BDF">
      <w:pPr>
        <w:pStyle w:val="ListParagraph"/>
        <w:ind w:left="405"/>
        <w:jc w:val="both"/>
        <w:rPr>
          <w:rFonts w:ascii="Times New Roman" w:hAnsi="Times New Roman" w:cs="Times New Roman"/>
          <w:sz w:val="24"/>
        </w:rPr>
      </w:pPr>
    </w:p>
    <w:p w:rsidR="00536988" w:rsidRPr="00536988" w:rsidRDefault="00536988" w:rsidP="00F24BDF">
      <w:pPr>
        <w:pStyle w:val="ListParagraph"/>
        <w:ind w:left="405"/>
        <w:jc w:val="both"/>
        <w:rPr>
          <w:rFonts w:ascii="Times New Roman" w:hAnsi="Times New Roman" w:cs="Times New Roman"/>
          <w:sz w:val="24"/>
        </w:rPr>
      </w:pPr>
      <w:r w:rsidRPr="00E9679A">
        <w:rPr>
          <w:rFonts w:ascii="Times New Roman" w:hAnsi="Times New Roman" w:cs="Times New Roman"/>
          <w:b/>
          <w:sz w:val="24"/>
        </w:rPr>
        <w:t>Decision</w:t>
      </w:r>
      <w:r w:rsidRPr="00536988">
        <w:rPr>
          <w:rFonts w:ascii="Times New Roman" w:hAnsi="Times New Roman" w:cs="Times New Roman"/>
          <w:sz w:val="24"/>
        </w:rPr>
        <w:t xml:space="preserve"> If an investigation leads the Chairperson of the Audit Committee to conclude that an improper or unethical act has been committe</w:t>
      </w:r>
      <w:r w:rsidR="00F24BDF">
        <w:rPr>
          <w:rFonts w:ascii="Times New Roman" w:hAnsi="Times New Roman" w:cs="Times New Roman"/>
          <w:sz w:val="24"/>
        </w:rPr>
        <w:t>d, the</w:t>
      </w:r>
      <w:r w:rsidRPr="00536988">
        <w:rPr>
          <w:rFonts w:ascii="Times New Roman" w:hAnsi="Times New Roman" w:cs="Times New Roman"/>
          <w:sz w:val="24"/>
        </w:rPr>
        <w:t xml:space="preserve"> Chairperson of the Audit Committee shall recommend to the management of the Company to take such disciplinary or corrective action as the Chairperson of the Audit Committee deems fit. It is clarified that any disciplinary or corrective action initiated against the subject as a result of the findings of an investigation </w:t>
      </w:r>
      <w:r w:rsidR="00E9679A">
        <w:rPr>
          <w:rFonts w:ascii="Times New Roman" w:hAnsi="Times New Roman" w:cs="Times New Roman"/>
          <w:sz w:val="24"/>
        </w:rPr>
        <w:t>pursuant to this policy shall ad</w:t>
      </w:r>
      <w:r w:rsidRPr="00536988">
        <w:rPr>
          <w:rFonts w:ascii="Times New Roman" w:hAnsi="Times New Roman" w:cs="Times New Roman"/>
          <w:sz w:val="24"/>
        </w:rPr>
        <w:t xml:space="preserve">here to the applicable personnel or staff conduct and disciplinary procedures. </w:t>
      </w:r>
    </w:p>
    <w:p w:rsidR="00E9679A" w:rsidRDefault="00536988" w:rsidP="00536988">
      <w:pPr>
        <w:pStyle w:val="ListParagraph"/>
        <w:numPr>
          <w:ilvl w:val="0"/>
          <w:numId w:val="1"/>
        </w:numPr>
        <w:jc w:val="both"/>
        <w:rPr>
          <w:rFonts w:ascii="Times New Roman" w:hAnsi="Times New Roman" w:cs="Times New Roman"/>
          <w:sz w:val="24"/>
        </w:rPr>
      </w:pPr>
      <w:r w:rsidRPr="00E9679A">
        <w:rPr>
          <w:rFonts w:ascii="Times New Roman" w:hAnsi="Times New Roman" w:cs="Times New Roman"/>
          <w:b/>
          <w:sz w:val="24"/>
        </w:rPr>
        <w:t>Reporting</w:t>
      </w:r>
      <w:r w:rsidRPr="00536988">
        <w:rPr>
          <w:rFonts w:ascii="Times New Roman" w:hAnsi="Times New Roman" w:cs="Times New Roman"/>
          <w:sz w:val="24"/>
        </w:rPr>
        <w:t xml:space="preserve"> </w:t>
      </w:r>
    </w:p>
    <w:p w:rsidR="00536988" w:rsidRPr="00536988" w:rsidRDefault="00F24BDF" w:rsidP="00E9679A">
      <w:pPr>
        <w:pStyle w:val="ListParagraph"/>
        <w:ind w:left="405"/>
        <w:jc w:val="both"/>
        <w:rPr>
          <w:rFonts w:ascii="Times New Roman" w:hAnsi="Times New Roman" w:cs="Times New Roman"/>
          <w:sz w:val="24"/>
        </w:rPr>
      </w:pPr>
      <w:r>
        <w:rPr>
          <w:rFonts w:ascii="Times New Roman" w:hAnsi="Times New Roman" w:cs="Times New Roman"/>
          <w:sz w:val="24"/>
        </w:rPr>
        <w:t xml:space="preserve">The </w:t>
      </w:r>
      <w:r w:rsidR="00536988" w:rsidRPr="00536988">
        <w:rPr>
          <w:rFonts w:ascii="Times New Roman" w:hAnsi="Times New Roman" w:cs="Times New Roman"/>
          <w:sz w:val="24"/>
        </w:rPr>
        <w:t xml:space="preserve">Chairperson of the Audit Committee shall submit a report to the Audit Committee on a regular basis about all disclosures referred to him since the last report together with the results of investigations, if any. </w:t>
      </w:r>
    </w:p>
    <w:p w:rsidR="00E9679A" w:rsidRDefault="00536988" w:rsidP="00536988">
      <w:pPr>
        <w:pStyle w:val="ListParagraph"/>
        <w:numPr>
          <w:ilvl w:val="0"/>
          <w:numId w:val="1"/>
        </w:numPr>
        <w:jc w:val="both"/>
        <w:rPr>
          <w:rFonts w:ascii="Times New Roman" w:hAnsi="Times New Roman" w:cs="Times New Roman"/>
          <w:sz w:val="24"/>
        </w:rPr>
      </w:pPr>
      <w:r w:rsidRPr="00E9679A">
        <w:rPr>
          <w:rFonts w:ascii="Times New Roman" w:hAnsi="Times New Roman" w:cs="Times New Roman"/>
          <w:b/>
          <w:sz w:val="24"/>
        </w:rPr>
        <w:t>Retention of documents</w:t>
      </w:r>
      <w:r w:rsidRPr="00536988">
        <w:rPr>
          <w:rFonts w:ascii="Times New Roman" w:hAnsi="Times New Roman" w:cs="Times New Roman"/>
          <w:sz w:val="24"/>
        </w:rPr>
        <w:t xml:space="preserve"> </w:t>
      </w:r>
    </w:p>
    <w:p w:rsidR="00536988" w:rsidRDefault="00536988" w:rsidP="00E9679A">
      <w:pPr>
        <w:pStyle w:val="ListParagraph"/>
        <w:ind w:left="405"/>
        <w:jc w:val="both"/>
        <w:rPr>
          <w:rFonts w:ascii="Times New Roman" w:hAnsi="Times New Roman" w:cs="Times New Roman"/>
          <w:sz w:val="24"/>
        </w:rPr>
      </w:pPr>
      <w:r w:rsidRPr="00536988">
        <w:rPr>
          <w:rFonts w:ascii="Times New Roman" w:hAnsi="Times New Roman" w:cs="Times New Roman"/>
          <w:sz w:val="24"/>
        </w:rPr>
        <w:t xml:space="preserve">All protected disclosures in writing or documented along with the results of investigation relating thereto shall be retained by the Company for a minimum period of two years. </w:t>
      </w:r>
    </w:p>
    <w:p w:rsidR="00E9679A" w:rsidRDefault="00536988" w:rsidP="00536988">
      <w:pPr>
        <w:pStyle w:val="ListParagraph"/>
        <w:numPr>
          <w:ilvl w:val="0"/>
          <w:numId w:val="1"/>
        </w:numPr>
        <w:jc w:val="both"/>
        <w:rPr>
          <w:rFonts w:ascii="Times New Roman" w:hAnsi="Times New Roman" w:cs="Times New Roman"/>
          <w:sz w:val="24"/>
        </w:rPr>
      </w:pPr>
      <w:r w:rsidRPr="00536988">
        <w:rPr>
          <w:rFonts w:ascii="Times New Roman" w:hAnsi="Times New Roman" w:cs="Times New Roman"/>
          <w:sz w:val="24"/>
        </w:rPr>
        <w:t xml:space="preserve"> </w:t>
      </w:r>
      <w:r w:rsidRPr="00E9679A">
        <w:rPr>
          <w:rFonts w:ascii="Times New Roman" w:hAnsi="Times New Roman" w:cs="Times New Roman"/>
          <w:b/>
          <w:sz w:val="24"/>
        </w:rPr>
        <w:t>Amendment</w:t>
      </w:r>
      <w:r w:rsidRPr="00536988">
        <w:rPr>
          <w:rFonts w:ascii="Times New Roman" w:hAnsi="Times New Roman" w:cs="Times New Roman"/>
          <w:sz w:val="24"/>
        </w:rPr>
        <w:t xml:space="preserve"> </w:t>
      </w:r>
    </w:p>
    <w:p w:rsidR="00536988" w:rsidRPr="00536988" w:rsidRDefault="00536988" w:rsidP="00E9679A">
      <w:pPr>
        <w:pStyle w:val="ListParagraph"/>
        <w:ind w:left="405"/>
        <w:jc w:val="both"/>
        <w:rPr>
          <w:rFonts w:ascii="Times New Roman" w:hAnsi="Times New Roman" w:cs="Times New Roman"/>
          <w:sz w:val="24"/>
        </w:rPr>
      </w:pPr>
      <w:r w:rsidRPr="00536988">
        <w:rPr>
          <w:rFonts w:ascii="Times New Roman" w:hAnsi="Times New Roman" w:cs="Times New Roman"/>
          <w:sz w:val="24"/>
        </w:rPr>
        <w:t>The Company reserves its right to amend or modify this policy in whole or in part, at any time without assigning its</w:t>
      </w:r>
      <w:bookmarkStart w:id="0" w:name="_GoBack"/>
      <w:bookmarkEnd w:id="0"/>
      <w:r w:rsidRPr="00536988">
        <w:rPr>
          <w:rFonts w:ascii="Times New Roman" w:hAnsi="Times New Roman" w:cs="Times New Roman"/>
          <w:sz w:val="24"/>
        </w:rPr>
        <w:t xml:space="preserve"> reason whatsoever.</w:t>
      </w:r>
    </w:p>
    <w:sectPr w:rsidR="00536988" w:rsidRPr="00536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4FA5"/>
    <w:multiLevelType w:val="hybridMultilevel"/>
    <w:tmpl w:val="E208CEE0"/>
    <w:lvl w:ilvl="0" w:tplc="04CA213C">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39"/>
    <w:rsid w:val="00160C01"/>
    <w:rsid w:val="001D5F0C"/>
    <w:rsid w:val="003E31B2"/>
    <w:rsid w:val="00430613"/>
    <w:rsid w:val="004563C4"/>
    <w:rsid w:val="00536988"/>
    <w:rsid w:val="006967FE"/>
    <w:rsid w:val="00B162CA"/>
    <w:rsid w:val="00CC7A39"/>
    <w:rsid w:val="00E9679A"/>
    <w:rsid w:val="00F00E3A"/>
    <w:rsid w:val="00F24B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Rinky Shaw</dc:creator>
  <cp:keywords/>
  <dc:description/>
  <cp:lastModifiedBy>Rinky Shaw</cp:lastModifiedBy>
  <cp:revision>9</cp:revision>
  <dcterms:created xsi:type="dcterms:W3CDTF">2023-04-05T05:03:00Z</dcterms:created>
  <dcterms:modified xsi:type="dcterms:W3CDTF">2023-05-02T09:41:00Z</dcterms:modified>
</cp:coreProperties>
</file>